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color w:val="auto"/>
          <w:sz w:val="32"/>
          <w:szCs w:val="32"/>
          <w:shd w:val="clear" w:color="auto" w:fill="FFFFFF"/>
          <w:lang w:val="en-US" w:eastAsia="zh-CN"/>
        </w:rPr>
      </w:pPr>
    </w:p>
    <w:p>
      <w:pPr>
        <w:jc w:val="both"/>
        <w:rPr>
          <w:rFonts w:hint="eastAsia" w:ascii="宋体" w:hAnsi="宋体" w:eastAsia="宋体" w:cs="宋体"/>
          <w:color w:val="auto"/>
          <w:sz w:val="32"/>
          <w:szCs w:val="32"/>
          <w:shd w:val="clear" w:color="auto" w:fill="FFFFFF"/>
          <w:lang w:val="en-US" w:eastAsia="zh-CN"/>
        </w:rPr>
      </w:pPr>
      <w:r>
        <w:rPr>
          <w:rFonts w:hint="eastAsia" w:ascii="宋体" w:hAnsi="宋体" w:eastAsia="宋体" w:cs="宋体"/>
          <w:color w:val="auto"/>
          <w:sz w:val="32"/>
          <w:szCs w:val="32"/>
          <w:shd w:val="clear" w:color="auto" w:fill="FFFFFF"/>
          <w:lang w:val="en-US" w:eastAsia="zh-CN"/>
        </w:rPr>
        <w:t>附件</w:t>
      </w:r>
    </w:p>
    <w:p>
      <w:pPr>
        <w:jc w:val="center"/>
        <w:rPr>
          <w:rFonts w:hint="eastAsia" w:ascii="宋体" w:hAnsi="宋体" w:eastAsia="宋体" w:cs="宋体"/>
          <w:b/>
          <w:bCs/>
          <w:color w:val="auto"/>
          <w:sz w:val="36"/>
          <w:szCs w:val="36"/>
          <w:shd w:val="clear" w:color="auto" w:fill="FFFFFF"/>
          <w:lang w:eastAsia="zh-CN"/>
        </w:rPr>
      </w:pPr>
      <w:r>
        <w:rPr>
          <w:rFonts w:hint="eastAsia" w:ascii="宋体" w:hAnsi="宋体" w:eastAsia="宋体" w:cs="宋体"/>
          <w:b/>
          <w:bCs/>
          <w:color w:val="auto"/>
          <w:sz w:val="36"/>
          <w:szCs w:val="36"/>
          <w:shd w:val="clear" w:color="auto" w:fill="FFFFFF"/>
        </w:rPr>
        <w:t>代理机构</w:t>
      </w:r>
      <w:r>
        <w:rPr>
          <w:rFonts w:hint="eastAsia" w:ascii="宋体" w:hAnsi="宋体" w:eastAsia="宋体" w:cs="宋体"/>
          <w:b/>
          <w:bCs/>
          <w:color w:val="auto"/>
          <w:sz w:val="36"/>
          <w:szCs w:val="36"/>
          <w:shd w:val="clear" w:color="auto" w:fill="FFFFFF"/>
          <w:lang w:val="en-US" w:eastAsia="zh-CN"/>
        </w:rPr>
        <w:t>选取</w:t>
      </w:r>
      <w:r>
        <w:rPr>
          <w:rFonts w:hint="eastAsia" w:ascii="宋体" w:hAnsi="宋体" w:eastAsia="宋体" w:cs="宋体"/>
          <w:b/>
          <w:bCs/>
          <w:color w:val="auto"/>
          <w:sz w:val="36"/>
          <w:szCs w:val="36"/>
          <w:shd w:val="clear" w:color="auto" w:fill="FFFFFF"/>
          <w:lang w:eastAsia="zh-CN"/>
        </w:rPr>
        <w:t>评分表</w:t>
      </w:r>
    </w:p>
    <w:p/>
    <w:tbl>
      <w:tblPr>
        <w:tblStyle w:val="6"/>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576"/>
        <w:gridCol w:w="631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540" w:type="dxa"/>
            <w:tcMar>
              <w:top w:w="15" w:type="dxa"/>
              <w:left w:w="15" w:type="dxa"/>
              <w:right w:w="15" w:type="dxa"/>
            </w:tcMar>
            <w:vAlign w:val="center"/>
          </w:tcPr>
          <w:p>
            <w:pPr>
              <w:widowControl/>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lang w:bidi="ar"/>
              </w:rPr>
              <w:t>序号</w:t>
            </w:r>
          </w:p>
        </w:tc>
        <w:tc>
          <w:tcPr>
            <w:tcW w:w="1576" w:type="dxa"/>
            <w:tcMar>
              <w:top w:w="15" w:type="dxa"/>
              <w:left w:w="15" w:type="dxa"/>
              <w:right w:w="15" w:type="dxa"/>
            </w:tcMar>
            <w:vAlign w:val="center"/>
          </w:tcPr>
          <w:p>
            <w:pPr>
              <w:widowControl/>
              <w:jc w:val="center"/>
              <w:textAlignment w:val="center"/>
              <w:rPr>
                <w:rFonts w:hint="eastAsia" w:ascii="宋体" w:hAnsi="宋体" w:eastAsia="宋体" w:cs="宋体"/>
                <w:b/>
                <w:kern w:val="0"/>
                <w:sz w:val="21"/>
                <w:szCs w:val="21"/>
                <w:highlight w:val="none"/>
                <w:lang w:bidi="ar"/>
              </w:rPr>
            </w:pPr>
            <w:r>
              <w:rPr>
                <w:rFonts w:hint="eastAsia" w:ascii="宋体" w:hAnsi="宋体" w:eastAsia="宋体" w:cs="宋体"/>
                <w:b/>
                <w:kern w:val="0"/>
                <w:sz w:val="21"/>
                <w:szCs w:val="21"/>
                <w:highlight w:val="none"/>
                <w:lang w:bidi="ar"/>
              </w:rPr>
              <w:t>评</w:t>
            </w:r>
            <w:r>
              <w:rPr>
                <w:rFonts w:hint="eastAsia" w:ascii="宋体" w:hAnsi="宋体" w:eastAsia="宋体" w:cs="宋体"/>
                <w:b/>
                <w:kern w:val="0"/>
                <w:sz w:val="21"/>
                <w:szCs w:val="21"/>
                <w:highlight w:val="none"/>
                <w:lang w:val="en-US" w:eastAsia="zh-CN" w:bidi="ar"/>
              </w:rPr>
              <w:t>审</w:t>
            </w:r>
            <w:r>
              <w:rPr>
                <w:rFonts w:hint="eastAsia" w:ascii="宋体" w:hAnsi="宋体" w:eastAsia="宋体" w:cs="宋体"/>
                <w:b/>
                <w:kern w:val="0"/>
                <w:sz w:val="21"/>
                <w:szCs w:val="21"/>
                <w:highlight w:val="none"/>
                <w:lang w:bidi="ar"/>
              </w:rPr>
              <w:t>项目</w:t>
            </w:r>
          </w:p>
        </w:tc>
        <w:tc>
          <w:tcPr>
            <w:tcW w:w="6312" w:type="dxa"/>
            <w:tcMar>
              <w:top w:w="15" w:type="dxa"/>
              <w:left w:w="15" w:type="dxa"/>
              <w:right w:w="15" w:type="dxa"/>
            </w:tcMar>
            <w:vAlign w:val="center"/>
          </w:tcPr>
          <w:p>
            <w:pPr>
              <w:widowControl/>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lang w:bidi="ar"/>
              </w:rPr>
              <w:t>评审内容及标准</w:t>
            </w:r>
          </w:p>
        </w:tc>
        <w:tc>
          <w:tcPr>
            <w:tcW w:w="528" w:type="dxa"/>
            <w:tcMar>
              <w:top w:w="15" w:type="dxa"/>
              <w:left w:w="15" w:type="dxa"/>
              <w:right w:w="15" w:type="dxa"/>
            </w:tcMar>
            <w:vAlign w:val="center"/>
          </w:tcPr>
          <w:p>
            <w:pPr>
              <w:widowControl/>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9" w:hRule="atLeast"/>
          <w:jc w:val="center"/>
        </w:trPr>
        <w:tc>
          <w:tcPr>
            <w:tcW w:w="540" w:type="dxa"/>
            <w:tcMar>
              <w:top w:w="15" w:type="dxa"/>
              <w:left w:w="15" w:type="dxa"/>
              <w:right w:w="15" w:type="dxa"/>
            </w:tcMar>
            <w:vAlign w:val="center"/>
          </w:tcPr>
          <w:p>
            <w:pPr>
              <w:spacing w:line="276" w:lineRule="auto"/>
              <w:jc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1</w:t>
            </w:r>
          </w:p>
        </w:tc>
        <w:tc>
          <w:tcPr>
            <w:tcW w:w="1576" w:type="dxa"/>
            <w:vMerge w:val="restart"/>
            <w:tcMar>
              <w:top w:w="15" w:type="dxa"/>
              <w:left w:w="15" w:type="dxa"/>
              <w:right w:w="15" w:type="dxa"/>
            </w:tcMar>
            <w:vAlign w:val="center"/>
          </w:tcPr>
          <w:p>
            <w:pPr>
              <w:snapToGrid w:val="0"/>
              <w:spacing w:before="60" w:after="6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综合实力</w:t>
            </w:r>
          </w:p>
          <w:p>
            <w:pPr>
              <w:snapToGrid w:val="0"/>
              <w:spacing w:before="60" w:after="6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50</w:t>
            </w:r>
            <w:r>
              <w:rPr>
                <w:rFonts w:hint="eastAsia" w:ascii="宋体" w:hAnsi="宋体" w:eastAsia="宋体" w:cs="宋体"/>
                <w:sz w:val="21"/>
                <w:szCs w:val="21"/>
                <w:highlight w:val="none"/>
              </w:rPr>
              <w:t>分）</w:t>
            </w:r>
          </w:p>
        </w:tc>
        <w:tc>
          <w:tcPr>
            <w:tcW w:w="6312" w:type="dxa"/>
            <w:tcMar>
              <w:top w:w="15" w:type="dxa"/>
              <w:left w:w="15" w:type="dxa"/>
              <w:right w:w="15" w:type="dxa"/>
            </w:tcMar>
            <w:vAlign w:val="center"/>
          </w:tcPr>
          <w:p>
            <w:pPr>
              <w:snapToGrid w:val="0"/>
              <w:spacing w:before="60" w:after="6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从业时间达到10年的得1分，达到15年得3分，达到20年得5分。（以营业执照的成立日期为准。）</w:t>
            </w:r>
          </w:p>
        </w:tc>
        <w:tc>
          <w:tcPr>
            <w:tcW w:w="528" w:type="dxa"/>
            <w:tcMar>
              <w:top w:w="15" w:type="dxa"/>
              <w:left w:w="15" w:type="dxa"/>
              <w:right w:w="15" w:type="dxa"/>
            </w:tcMar>
            <w:vAlign w:val="center"/>
          </w:tcPr>
          <w:p>
            <w:pPr>
              <w:widowControl/>
              <w:spacing w:line="276" w:lineRule="auto"/>
              <w:jc w:val="center"/>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 w:hRule="atLeast"/>
          <w:jc w:val="center"/>
        </w:trPr>
        <w:tc>
          <w:tcPr>
            <w:tcW w:w="540" w:type="dxa"/>
            <w:tcMar>
              <w:top w:w="15" w:type="dxa"/>
              <w:left w:w="15" w:type="dxa"/>
              <w:right w:w="15" w:type="dxa"/>
            </w:tcMar>
            <w:vAlign w:val="center"/>
          </w:tcPr>
          <w:p>
            <w:pPr>
              <w:spacing w:line="276" w:lineRule="auto"/>
              <w:jc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2</w:t>
            </w:r>
          </w:p>
        </w:tc>
        <w:tc>
          <w:tcPr>
            <w:tcW w:w="1576" w:type="dxa"/>
            <w:vMerge w:val="continue"/>
            <w:tcMar>
              <w:top w:w="15" w:type="dxa"/>
              <w:left w:w="15" w:type="dxa"/>
              <w:right w:w="15" w:type="dxa"/>
            </w:tcMar>
            <w:vAlign w:val="center"/>
          </w:tcPr>
          <w:p>
            <w:pPr>
              <w:snapToGrid w:val="0"/>
              <w:spacing w:before="60" w:after="60"/>
              <w:jc w:val="center"/>
              <w:rPr>
                <w:rFonts w:hint="eastAsia" w:ascii="宋体" w:hAnsi="宋体" w:eastAsia="宋体" w:cs="宋体"/>
                <w:sz w:val="21"/>
                <w:szCs w:val="21"/>
                <w:highlight w:val="none"/>
              </w:rPr>
            </w:pPr>
          </w:p>
        </w:tc>
        <w:tc>
          <w:tcPr>
            <w:tcW w:w="6312" w:type="dxa"/>
            <w:tcMar>
              <w:top w:w="15" w:type="dxa"/>
              <w:left w:w="15" w:type="dxa"/>
              <w:right w:w="15" w:type="dxa"/>
            </w:tcMar>
            <w:vAlign w:val="center"/>
          </w:tcPr>
          <w:p>
            <w:pPr>
              <w:pStyle w:val="2"/>
              <w:rPr>
                <w:rFonts w:hint="eastAsia"/>
              </w:rPr>
            </w:pPr>
            <w:r>
              <w:rPr>
                <w:rFonts w:hint="eastAsia" w:ascii="宋体" w:hAnsi="宋体" w:eastAsia="宋体" w:cs="宋体"/>
                <w:kern w:val="2"/>
                <w:sz w:val="21"/>
                <w:szCs w:val="21"/>
                <w:highlight w:val="none"/>
                <w:lang w:val="en-US" w:eastAsia="zh-CN" w:bidi="ar-SA"/>
              </w:rPr>
              <w:t>注册资金达到500万得1分，达到800万</w:t>
            </w:r>
            <w:r>
              <w:rPr>
                <w:rFonts w:hint="eastAsia" w:ascii="宋体" w:hAnsi="宋体" w:eastAsia="宋体" w:cs="宋体"/>
                <w:sz w:val="21"/>
                <w:szCs w:val="21"/>
                <w:highlight w:val="none"/>
              </w:rPr>
              <w:t>得3分，达到</w:t>
            </w:r>
            <w:r>
              <w:rPr>
                <w:rFonts w:hint="eastAsia" w:ascii="宋体" w:hAnsi="宋体" w:eastAsia="宋体" w:cs="宋体"/>
                <w:sz w:val="21"/>
                <w:szCs w:val="21"/>
                <w:highlight w:val="none"/>
                <w:lang w:val="en-US" w:eastAsia="zh-CN"/>
              </w:rPr>
              <w:t>1000</w:t>
            </w:r>
            <w:r>
              <w:rPr>
                <w:rFonts w:hint="eastAsia" w:ascii="宋体" w:hAnsi="宋体" w:eastAsia="宋体" w:cs="宋体"/>
                <w:sz w:val="21"/>
                <w:szCs w:val="21"/>
                <w:highlight w:val="none"/>
              </w:rPr>
              <w:t>年得5分。（以营业执照为准。）</w:t>
            </w:r>
          </w:p>
        </w:tc>
        <w:tc>
          <w:tcPr>
            <w:tcW w:w="528" w:type="dxa"/>
            <w:tcMar>
              <w:top w:w="15" w:type="dxa"/>
              <w:left w:w="15" w:type="dxa"/>
              <w:right w:w="15" w:type="dxa"/>
            </w:tcMar>
            <w:vAlign w:val="center"/>
          </w:tcPr>
          <w:p>
            <w:pPr>
              <w:widowControl/>
              <w:spacing w:line="276" w:lineRule="auto"/>
              <w:jc w:val="center"/>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9" w:hRule="atLeast"/>
          <w:jc w:val="center"/>
        </w:trPr>
        <w:tc>
          <w:tcPr>
            <w:tcW w:w="540" w:type="dxa"/>
            <w:tcMar>
              <w:top w:w="15" w:type="dxa"/>
              <w:left w:w="15" w:type="dxa"/>
              <w:right w:w="15" w:type="dxa"/>
            </w:tcMar>
            <w:vAlign w:val="center"/>
          </w:tcPr>
          <w:p>
            <w:pPr>
              <w:spacing w:line="276" w:lineRule="auto"/>
              <w:jc w:val="center"/>
              <w:rPr>
                <w:rFonts w:hint="eastAsia" w:ascii="宋体" w:hAnsi="宋体" w:eastAsia="宋体" w:cs="宋体"/>
                <w:kern w:val="0"/>
                <w:sz w:val="21"/>
                <w:szCs w:val="21"/>
                <w:highlight w:val="none"/>
                <w:lang w:val="en-US" w:eastAsia="zh-CN" w:bidi="ar"/>
              </w:rPr>
            </w:pPr>
            <w:r>
              <w:rPr>
                <w:rFonts w:hint="eastAsia" w:ascii="宋体" w:hAnsi="宋体" w:cs="宋体"/>
                <w:kern w:val="0"/>
                <w:sz w:val="21"/>
                <w:szCs w:val="21"/>
                <w:highlight w:val="none"/>
                <w:lang w:val="en-US" w:eastAsia="zh-CN" w:bidi="ar"/>
              </w:rPr>
              <w:t>3</w:t>
            </w:r>
          </w:p>
        </w:tc>
        <w:tc>
          <w:tcPr>
            <w:tcW w:w="1576" w:type="dxa"/>
            <w:vMerge w:val="continue"/>
            <w:tcMar>
              <w:top w:w="15" w:type="dxa"/>
              <w:left w:w="15" w:type="dxa"/>
              <w:right w:w="15" w:type="dxa"/>
            </w:tcMar>
            <w:vAlign w:val="center"/>
          </w:tcPr>
          <w:p>
            <w:pPr>
              <w:snapToGrid w:val="0"/>
              <w:spacing w:before="60" w:after="60"/>
              <w:jc w:val="center"/>
              <w:rPr>
                <w:rFonts w:hint="eastAsia" w:ascii="宋体" w:hAnsi="宋体" w:eastAsia="宋体" w:cs="宋体"/>
                <w:sz w:val="21"/>
                <w:szCs w:val="21"/>
                <w:highlight w:val="none"/>
              </w:rPr>
            </w:pPr>
          </w:p>
        </w:tc>
        <w:tc>
          <w:tcPr>
            <w:tcW w:w="6312" w:type="dxa"/>
            <w:tcMar>
              <w:top w:w="15" w:type="dxa"/>
              <w:left w:w="15" w:type="dxa"/>
              <w:right w:w="15" w:type="dxa"/>
            </w:tcMar>
            <w:vAlign w:val="center"/>
          </w:tcPr>
          <w:p>
            <w:pPr>
              <w:snapToGrid w:val="0"/>
              <w:spacing w:before="60" w:after="6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在中国</w:t>
            </w:r>
            <w:r>
              <w:rPr>
                <w:rFonts w:hint="eastAsia" w:ascii="宋体" w:hAnsi="宋体" w:eastAsia="宋体" w:cs="宋体"/>
                <w:sz w:val="21"/>
                <w:szCs w:val="21"/>
                <w:highlight w:val="none"/>
                <w:lang w:val="en-US" w:eastAsia="zh-CN"/>
              </w:rPr>
              <w:t>政府采购网备案得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分，</w:t>
            </w:r>
          </w:p>
          <w:p>
            <w:pPr>
              <w:snapToGrid w:val="0"/>
              <w:spacing w:before="60" w:after="6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在辽宁省政府采购网备案得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分，</w:t>
            </w:r>
          </w:p>
          <w:p>
            <w:pPr>
              <w:snapToGrid w:val="0"/>
              <w:spacing w:before="60" w:after="6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在辽宁建设工程信息网备案</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分，</w:t>
            </w:r>
          </w:p>
          <w:p>
            <w:pPr>
              <w:snapToGrid w:val="0"/>
              <w:spacing w:before="60" w:after="6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须提供相关证明材料，不提供不得分。</w:t>
            </w:r>
          </w:p>
        </w:tc>
        <w:tc>
          <w:tcPr>
            <w:tcW w:w="528" w:type="dxa"/>
            <w:tcMar>
              <w:top w:w="15" w:type="dxa"/>
              <w:left w:w="15" w:type="dxa"/>
              <w:right w:w="15" w:type="dxa"/>
            </w:tcMar>
            <w:vAlign w:val="center"/>
          </w:tcPr>
          <w:p>
            <w:pPr>
              <w:widowControl/>
              <w:spacing w:line="276" w:lineRule="auto"/>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cs="宋体"/>
                <w:kern w:val="0"/>
                <w:sz w:val="21"/>
                <w:szCs w:val="21"/>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9" w:hRule="atLeast"/>
          <w:jc w:val="center"/>
        </w:trPr>
        <w:tc>
          <w:tcPr>
            <w:tcW w:w="540" w:type="dxa"/>
            <w:tcMar>
              <w:top w:w="15" w:type="dxa"/>
              <w:left w:w="15" w:type="dxa"/>
              <w:right w:w="15" w:type="dxa"/>
            </w:tcMar>
            <w:vAlign w:val="center"/>
          </w:tcPr>
          <w:p>
            <w:pPr>
              <w:spacing w:line="276" w:lineRule="auto"/>
              <w:jc w:val="center"/>
              <w:rPr>
                <w:rFonts w:hint="eastAsia" w:ascii="宋体" w:hAnsi="宋体" w:eastAsia="宋体" w:cs="宋体"/>
                <w:kern w:val="0"/>
                <w:sz w:val="21"/>
                <w:szCs w:val="21"/>
                <w:highlight w:val="none"/>
                <w:lang w:val="en-US" w:eastAsia="zh-CN" w:bidi="ar"/>
              </w:rPr>
            </w:pPr>
            <w:r>
              <w:rPr>
                <w:rFonts w:hint="eastAsia" w:ascii="宋体" w:hAnsi="宋体" w:cs="宋体"/>
                <w:kern w:val="0"/>
                <w:sz w:val="21"/>
                <w:szCs w:val="21"/>
                <w:highlight w:val="none"/>
                <w:lang w:val="en-US" w:eastAsia="zh-CN" w:bidi="ar"/>
              </w:rPr>
              <w:t>4</w:t>
            </w:r>
          </w:p>
        </w:tc>
        <w:tc>
          <w:tcPr>
            <w:tcW w:w="1576" w:type="dxa"/>
            <w:vMerge w:val="continue"/>
            <w:tcMar>
              <w:top w:w="15" w:type="dxa"/>
              <w:left w:w="15" w:type="dxa"/>
              <w:right w:w="15" w:type="dxa"/>
            </w:tcMar>
            <w:vAlign w:val="center"/>
          </w:tcPr>
          <w:p>
            <w:pPr>
              <w:snapToGrid w:val="0"/>
              <w:spacing w:before="60" w:after="60"/>
              <w:jc w:val="center"/>
              <w:rPr>
                <w:rFonts w:hint="eastAsia" w:ascii="宋体" w:hAnsi="宋体" w:eastAsia="宋体" w:cs="宋体"/>
                <w:sz w:val="21"/>
                <w:szCs w:val="21"/>
                <w:highlight w:val="none"/>
              </w:rPr>
            </w:pPr>
          </w:p>
        </w:tc>
        <w:tc>
          <w:tcPr>
            <w:tcW w:w="6312" w:type="dxa"/>
            <w:tcMar>
              <w:top w:w="15" w:type="dxa"/>
              <w:left w:w="15" w:type="dxa"/>
              <w:right w:w="15" w:type="dxa"/>
            </w:tcMar>
            <w:vAlign w:val="center"/>
          </w:tcPr>
          <w:p>
            <w:pPr>
              <w:snapToGrid w:val="0"/>
              <w:spacing w:before="60" w:after="60"/>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具有固定办公场所</w:t>
            </w:r>
            <w:r>
              <w:rPr>
                <w:rFonts w:hint="eastAsia" w:ascii="宋体" w:hAnsi="宋体" w:eastAsia="宋体" w:cs="宋体"/>
                <w:sz w:val="21"/>
                <w:szCs w:val="21"/>
                <w:highlight w:val="none"/>
                <w:lang w:val="en-US" w:eastAsia="zh-CN"/>
              </w:rPr>
              <w:t>的，得2分；</w:t>
            </w:r>
          </w:p>
          <w:p>
            <w:pPr>
              <w:snapToGrid w:val="0"/>
              <w:spacing w:before="60" w:after="6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具有独立开展项目的开标室、评标室的场地，并配置监控录音录像设备得2分；</w:t>
            </w:r>
          </w:p>
          <w:p>
            <w:pPr>
              <w:snapToGrid w:val="0"/>
              <w:spacing w:before="60" w:after="6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具有独立的保密室，得1分；</w:t>
            </w:r>
          </w:p>
          <w:p>
            <w:pPr>
              <w:snapToGrid w:val="0"/>
              <w:spacing w:before="60" w:after="60"/>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具有独立的档案室得1分。</w:t>
            </w:r>
          </w:p>
          <w:p>
            <w:pPr>
              <w:snapToGrid w:val="0"/>
              <w:spacing w:before="60" w:after="6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（提供办公场所产权或租赁合同，需附图片证明材料）</w:t>
            </w:r>
          </w:p>
        </w:tc>
        <w:tc>
          <w:tcPr>
            <w:tcW w:w="528" w:type="dxa"/>
            <w:tcMar>
              <w:top w:w="15" w:type="dxa"/>
              <w:left w:w="15" w:type="dxa"/>
              <w:right w:w="15" w:type="dxa"/>
            </w:tcMar>
            <w:vAlign w:val="center"/>
          </w:tcPr>
          <w:p>
            <w:pPr>
              <w:widowControl/>
              <w:spacing w:line="276" w:lineRule="auto"/>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cs="宋体"/>
                <w:kern w:val="0"/>
                <w:sz w:val="21"/>
                <w:szCs w:val="21"/>
                <w:highlight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40" w:type="dxa"/>
            <w:tcMar>
              <w:top w:w="15" w:type="dxa"/>
              <w:left w:w="15" w:type="dxa"/>
              <w:right w:w="15" w:type="dxa"/>
            </w:tcMar>
            <w:vAlign w:val="center"/>
          </w:tcPr>
          <w:p>
            <w:pPr>
              <w:spacing w:line="276" w:lineRule="auto"/>
              <w:jc w:val="center"/>
              <w:rPr>
                <w:rFonts w:hint="eastAsia" w:ascii="宋体" w:hAnsi="宋体" w:eastAsia="宋体" w:cs="宋体"/>
                <w:kern w:val="0"/>
                <w:sz w:val="21"/>
                <w:szCs w:val="21"/>
                <w:highlight w:val="none"/>
                <w:lang w:val="en-US" w:eastAsia="zh-CN" w:bidi="ar"/>
              </w:rPr>
            </w:pPr>
            <w:r>
              <w:rPr>
                <w:rFonts w:hint="eastAsia" w:ascii="宋体" w:hAnsi="宋体" w:cs="宋体"/>
                <w:kern w:val="0"/>
                <w:sz w:val="21"/>
                <w:szCs w:val="21"/>
                <w:highlight w:val="none"/>
                <w:lang w:val="en-US" w:eastAsia="zh-CN" w:bidi="ar"/>
              </w:rPr>
              <w:t>5</w:t>
            </w:r>
          </w:p>
        </w:tc>
        <w:tc>
          <w:tcPr>
            <w:tcW w:w="1576" w:type="dxa"/>
            <w:vMerge w:val="continue"/>
            <w:tcMar>
              <w:top w:w="15" w:type="dxa"/>
              <w:left w:w="15" w:type="dxa"/>
              <w:right w:w="15" w:type="dxa"/>
            </w:tcMar>
            <w:vAlign w:val="center"/>
          </w:tcPr>
          <w:p>
            <w:pPr>
              <w:snapToGrid w:val="0"/>
              <w:spacing w:before="60" w:after="60"/>
              <w:jc w:val="center"/>
              <w:rPr>
                <w:rFonts w:hint="eastAsia" w:ascii="宋体" w:hAnsi="宋体" w:eastAsia="宋体" w:cs="宋体"/>
                <w:sz w:val="21"/>
                <w:szCs w:val="21"/>
                <w:highlight w:val="none"/>
              </w:rPr>
            </w:pPr>
          </w:p>
        </w:tc>
        <w:tc>
          <w:tcPr>
            <w:tcW w:w="6312" w:type="dxa"/>
            <w:tcMar>
              <w:top w:w="74" w:type="dxa"/>
              <w:left w:w="74" w:type="dxa"/>
              <w:bottom w:w="74" w:type="dxa"/>
              <w:right w:w="74" w:type="dxa"/>
            </w:tcMar>
            <w:vAlign w:val="center"/>
          </w:tcPr>
          <w:p>
            <w:pPr>
              <w:snapToGrid w:val="0"/>
              <w:spacing w:before="60" w:after="6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具有有效的质量管理体系、环境管理体系、职业健康安全管理体系认证，以上认证具备一个得2分，最多得6分。</w:t>
            </w:r>
          </w:p>
          <w:p>
            <w:pPr>
              <w:snapToGrid w:val="0"/>
              <w:spacing w:before="60" w:after="6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注：提供认证证书复印件。</w:t>
            </w:r>
          </w:p>
        </w:tc>
        <w:tc>
          <w:tcPr>
            <w:tcW w:w="528" w:type="dxa"/>
            <w:tcMar>
              <w:top w:w="15" w:type="dxa"/>
              <w:left w:w="15" w:type="dxa"/>
              <w:right w:w="15" w:type="dxa"/>
            </w:tcMar>
            <w:vAlign w:val="center"/>
          </w:tcPr>
          <w:p>
            <w:pPr>
              <w:widowControl/>
              <w:spacing w:line="276" w:lineRule="auto"/>
              <w:jc w:val="center"/>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40" w:type="dxa"/>
            <w:tcMar>
              <w:top w:w="15" w:type="dxa"/>
              <w:left w:w="15" w:type="dxa"/>
              <w:right w:w="15" w:type="dxa"/>
            </w:tcMar>
            <w:vAlign w:val="center"/>
          </w:tcPr>
          <w:p>
            <w:pPr>
              <w:spacing w:line="276" w:lineRule="auto"/>
              <w:jc w:val="center"/>
              <w:rPr>
                <w:rFonts w:hint="eastAsia" w:ascii="宋体" w:hAnsi="宋体" w:eastAsia="宋体" w:cs="宋体"/>
                <w:kern w:val="0"/>
                <w:sz w:val="21"/>
                <w:szCs w:val="21"/>
                <w:highlight w:val="none"/>
                <w:lang w:val="en-US" w:eastAsia="zh-CN" w:bidi="ar"/>
              </w:rPr>
            </w:pPr>
            <w:r>
              <w:rPr>
                <w:rFonts w:hint="eastAsia" w:ascii="宋体" w:hAnsi="宋体" w:cs="宋体"/>
                <w:kern w:val="0"/>
                <w:sz w:val="21"/>
                <w:szCs w:val="21"/>
                <w:highlight w:val="none"/>
                <w:lang w:val="en-US" w:eastAsia="zh-CN" w:bidi="ar"/>
              </w:rPr>
              <w:t>6</w:t>
            </w:r>
          </w:p>
        </w:tc>
        <w:tc>
          <w:tcPr>
            <w:tcW w:w="1576" w:type="dxa"/>
            <w:vMerge w:val="continue"/>
            <w:tcMar>
              <w:top w:w="15" w:type="dxa"/>
              <w:left w:w="15" w:type="dxa"/>
              <w:right w:w="15" w:type="dxa"/>
            </w:tcMar>
            <w:vAlign w:val="center"/>
          </w:tcPr>
          <w:p>
            <w:pPr>
              <w:snapToGrid w:val="0"/>
              <w:spacing w:before="60" w:after="60"/>
              <w:jc w:val="center"/>
              <w:rPr>
                <w:rFonts w:hint="eastAsia" w:ascii="宋体" w:hAnsi="宋体" w:eastAsia="宋体" w:cs="宋体"/>
                <w:sz w:val="21"/>
                <w:szCs w:val="21"/>
                <w:highlight w:val="none"/>
              </w:rPr>
            </w:pPr>
          </w:p>
        </w:tc>
        <w:tc>
          <w:tcPr>
            <w:tcW w:w="6312" w:type="dxa"/>
            <w:tcMar>
              <w:top w:w="74" w:type="dxa"/>
              <w:left w:w="74" w:type="dxa"/>
              <w:bottom w:w="74" w:type="dxa"/>
              <w:right w:w="74" w:type="dxa"/>
            </w:tcMar>
            <w:vAlign w:val="center"/>
          </w:tcPr>
          <w:p>
            <w:pPr>
              <w:snapToGrid w:val="0"/>
              <w:spacing w:before="60" w:after="60"/>
              <w:jc w:val="both"/>
              <w:rPr>
                <w:rFonts w:hint="eastAsia" w:ascii="宋体" w:hAnsi="宋体" w:eastAsia="宋体" w:cs="宋体"/>
                <w:sz w:val="21"/>
                <w:szCs w:val="21"/>
                <w:highlight w:val="none"/>
              </w:rPr>
            </w:pPr>
            <w:r>
              <w:rPr>
                <w:rFonts w:hint="eastAsia" w:ascii="宋体" w:hAnsi="宋体" w:cs="宋体"/>
                <w:sz w:val="21"/>
                <w:szCs w:val="21"/>
                <w:highlight w:val="none"/>
                <w:lang w:eastAsia="zh-CN"/>
              </w:rPr>
              <w:t>投标人</w:t>
            </w:r>
            <w:r>
              <w:rPr>
                <w:rFonts w:hint="eastAsia" w:ascii="宋体" w:hAnsi="宋体" w:eastAsia="宋体" w:cs="宋体"/>
                <w:sz w:val="21"/>
                <w:szCs w:val="21"/>
                <w:highlight w:val="none"/>
              </w:rPr>
              <w:t>具备信用等级报告，信用报告等级为AAA的得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分，等级为AA的得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分，等级为A的得1分，其余不得分。</w:t>
            </w:r>
          </w:p>
          <w:p>
            <w:pPr>
              <w:snapToGrid w:val="0"/>
              <w:spacing w:before="60" w:after="60"/>
              <w:jc w:val="both"/>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eastAsia="zh-CN"/>
              </w:rPr>
              <w:t>（</w:t>
            </w:r>
            <w:r>
              <w:rPr>
                <w:rFonts w:hint="eastAsia" w:ascii="宋体" w:hAnsi="宋体" w:eastAsia="宋体" w:cs="宋体"/>
                <w:sz w:val="21"/>
                <w:szCs w:val="21"/>
                <w:highlight w:val="none"/>
              </w:rPr>
              <w:t>提供“信用报告”复印件</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w:t>
            </w:r>
          </w:p>
        </w:tc>
        <w:tc>
          <w:tcPr>
            <w:tcW w:w="528" w:type="dxa"/>
            <w:tcMar>
              <w:top w:w="15" w:type="dxa"/>
              <w:left w:w="15" w:type="dxa"/>
              <w:right w:w="15" w:type="dxa"/>
            </w:tcMar>
            <w:vAlign w:val="center"/>
          </w:tcPr>
          <w:p>
            <w:pPr>
              <w:widowControl/>
              <w:spacing w:line="276" w:lineRule="auto"/>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cs="宋体"/>
                <w:kern w:val="0"/>
                <w:sz w:val="21"/>
                <w:szCs w:val="21"/>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40" w:type="dxa"/>
            <w:tcMar>
              <w:top w:w="15" w:type="dxa"/>
              <w:left w:w="15" w:type="dxa"/>
              <w:right w:w="15" w:type="dxa"/>
            </w:tcMar>
            <w:vAlign w:val="center"/>
          </w:tcPr>
          <w:p>
            <w:pPr>
              <w:spacing w:line="276" w:lineRule="auto"/>
              <w:jc w:val="center"/>
              <w:rPr>
                <w:rFonts w:hint="eastAsia" w:ascii="宋体" w:hAnsi="宋体" w:eastAsia="宋体" w:cs="宋体"/>
                <w:kern w:val="0"/>
                <w:sz w:val="21"/>
                <w:szCs w:val="21"/>
                <w:highlight w:val="none"/>
                <w:lang w:val="en-US" w:eastAsia="zh-CN" w:bidi="ar"/>
              </w:rPr>
            </w:pPr>
            <w:r>
              <w:rPr>
                <w:rFonts w:hint="eastAsia" w:ascii="宋体" w:hAnsi="宋体" w:cs="宋体"/>
                <w:kern w:val="0"/>
                <w:sz w:val="21"/>
                <w:szCs w:val="21"/>
                <w:highlight w:val="none"/>
                <w:lang w:val="en-US" w:eastAsia="zh-CN" w:bidi="ar"/>
              </w:rPr>
              <w:t>7</w:t>
            </w:r>
          </w:p>
        </w:tc>
        <w:tc>
          <w:tcPr>
            <w:tcW w:w="1576" w:type="dxa"/>
            <w:vMerge w:val="continue"/>
            <w:tcMar>
              <w:top w:w="15" w:type="dxa"/>
              <w:left w:w="15" w:type="dxa"/>
              <w:right w:w="15" w:type="dxa"/>
            </w:tcMar>
            <w:vAlign w:val="center"/>
          </w:tcPr>
          <w:p>
            <w:pPr>
              <w:snapToGrid w:val="0"/>
              <w:spacing w:before="60" w:after="60"/>
              <w:jc w:val="center"/>
              <w:rPr>
                <w:rFonts w:hint="eastAsia" w:ascii="宋体" w:hAnsi="宋体" w:eastAsia="宋体" w:cs="宋体"/>
                <w:sz w:val="21"/>
                <w:szCs w:val="21"/>
                <w:highlight w:val="none"/>
              </w:rPr>
            </w:pPr>
          </w:p>
        </w:tc>
        <w:tc>
          <w:tcPr>
            <w:tcW w:w="6312" w:type="dxa"/>
            <w:tcMar>
              <w:top w:w="74" w:type="dxa"/>
              <w:left w:w="74" w:type="dxa"/>
              <w:bottom w:w="74" w:type="dxa"/>
              <w:right w:w="74" w:type="dxa"/>
            </w:tcMar>
            <w:vAlign w:val="center"/>
          </w:tcPr>
          <w:p>
            <w:pPr>
              <w:snapToGrid w:val="0"/>
              <w:spacing w:before="60" w:after="6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具有长期稳定合作的律师事务所或具有能够解决问题的自有法务人员团队,得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分,不提供不得分。</w:t>
            </w:r>
          </w:p>
          <w:p>
            <w:pPr>
              <w:snapToGrid w:val="0"/>
              <w:spacing w:before="60" w:after="6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（合作单位需提供合同复印件，自有法务人员团队需提供相关从业资格证件及缴纳社保情况证明，否则视为未提供）</w:t>
            </w:r>
          </w:p>
        </w:tc>
        <w:tc>
          <w:tcPr>
            <w:tcW w:w="528" w:type="dxa"/>
            <w:tcMar>
              <w:top w:w="15" w:type="dxa"/>
              <w:left w:w="15" w:type="dxa"/>
              <w:right w:w="15" w:type="dxa"/>
            </w:tcMar>
            <w:vAlign w:val="center"/>
          </w:tcPr>
          <w:p>
            <w:pPr>
              <w:widowControl/>
              <w:spacing w:line="276" w:lineRule="auto"/>
              <w:jc w:val="center"/>
              <w:textAlignment w:val="center"/>
              <w:rPr>
                <w:rFonts w:hint="default" w:ascii="宋体" w:hAnsi="宋体" w:cs="宋体"/>
                <w:kern w:val="0"/>
                <w:sz w:val="21"/>
                <w:szCs w:val="21"/>
                <w:highlight w:val="none"/>
                <w:lang w:val="en-US" w:eastAsia="zh-CN" w:bidi="ar"/>
              </w:rPr>
            </w:pPr>
            <w:r>
              <w:rPr>
                <w:rFonts w:hint="eastAsia" w:ascii="宋体" w:hAnsi="宋体" w:cs="宋体"/>
                <w:kern w:val="0"/>
                <w:sz w:val="21"/>
                <w:szCs w:val="21"/>
                <w:highlight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540" w:type="dxa"/>
            <w:tcMar>
              <w:top w:w="15" w:type="dxa"/>
              <w:left w:w="15" w:type="dxa"/>
              <w:right w:w="15" w:type="dxa"/>
            </w:tcMar>
            <w:vAlign w:val="center"/>
          </w:tcPr>
          <w:p>
            <w:pPr>
              <w:spacing w:line="276" w:lineRule="auto"/>
              <w:jc w:val="center"/>
              <w:rPr>
                <w:rFonts w:hint="eastAsia" w:ascii="宋体" w:hAnsi="宋体" w:eastAsia="宋体" w:cs="宋体"/>
                <w:kern w:val="0"/>
                <w:sz w:val="21"/>
                <w:szCs w:val="21"/>
                <w:highlight w:val="none"/>
                <w:lang w:val="en-US" w:eastAsia="zh-CN" w:bidi="ar"/>
              </w:rPr>
            </w:pPr>
            <w:r>
              <w:rPr>
                <w:rFonts w:hint="eastAsia" w:ascii="宋体" w:hAnsi="宋体" w:cs="宋体"/>
                <w:kern w:val="0"/>
                <w:sz w:val="21"/>
                <w:szCs w:val="21"/>
                <w:highlight w:val="none"/>
                <w:lang w:val="en-US" w:eastAsia="zh-CN" w:bidi="ar"/>
              </w:rPr>
              <w:t>8</w:t>
            </w:r>
          </w:p>
        </w:tc>
        <w:tc>
          <w:tcPr>
            <w:tcW w:w="1576" w:type="dxa"/>
            <w:vMerge w:val="continue"/>
            <w:tcMar>
              <w:top w:w="15" w:type="dxa"/>
              <w:left w:w="15" w:type="dxa"/>
              <w:right w:w="15" w:type="dxa"/>
            </w:tcMar>
            <w:vAlign w:val="center"/>
          </w:tcPr>
          <w:p>
            <w:pPr>
              <w:snapToGrid w:val="0"/>
              <w:spacing w:before="60" w:after="60"/>
              <w:jc w:val="center"/>
              <w:rPr>
                <w:rFonts w:hint="eastAsia" w:ascii="宋体" w:hAnsi="宋体" w:eastAsia="宋体" w:cs="宋体"/>
                <w:sz w:val="21"/>
                <w:szCs w:val="21"/>
                <w:highlight w:val="none"/>
              </w:rPr>
            </w:pPr>
          </w:p>
        </w:tc>
        <w:tc>
          <w:tcPr>
            <w:tcW w:w="6312" w:type="dxa"/>
            <w:tcMar>
              <w:top w:w="15" w:type="dxa"/>
              <w:left w:w="15" w:type="dxa"/>
              <w:right w:w="15" w:type="dxa"/>
            </w:tcMar>
            <w:vAlign w:val="center"/>
          </w:tcPr>
          <w:p>
            <w:pPr>
              <w:snapToGrid w:val="0"/>
              <w:spacing w:before="60" w:after="6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具有省级部门颁发的政府采购培训证书的每提供一个加1分，最多得7分。</w:t>
            </w:r>
          </w:p>
          <w:p>
            <w:pPr>
              <w:snapToGrid w:val="0"/>
              <w:spacing w:before="60" w:after="6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(须提供投标截止当月前6个月任意一个月的培训相关人员社保情况，否则视为未提供）</w:t>
            </w:r>
          </w:p>
        </w:tc>
        <w:tc>
          <w:tcPr>
            <w:tcW w:w="528" w:type="dxa"/>
            <w:tcMar>
              <w:top w:w="15" w:type="dxa"/>
              <w:left w:w="15" w:type="dxa"/>
              <w:right w:w="15" w:type="dxa"/>
            </w:tcMar>
            <w:vAlign w:val="center"/>
          </w:tcPr>
          <w:p>
            <w:pPr>
              <w:widowControl/>
              <w:spacing w:line="276" w:lineRule="auto"/>
              <w:jc w:val="center"/>
              <w:textAlignment w:val="center"/>
              <w:rPr>
                <w:rFonts w:hint="eastAsia" w:ascii="宋体" w:hAnsi="宋体" w:eastAsia="宋体" w:cs="宋体"/>
                <w:kern w:val="0"/>
                <w:sz w:val="21"/>
                <w:szCs w:val="21"/>
                <w:highlight w:val="none"/>
                <w:lang w:eastAsia="zh-CN" w:bidi="ar"/>
              </w:rPr>
            </w:pPr>
            <w:r>
              <w:rPr>
                <w:rFonts w:hint="eastAsia" w:ascii="宋体" w:hAnsi="宋体" w:cs="宋体"/>
                <w:kern w:val="0"/>
                <w:sz w:val="21"/>
                <w:szCs w:val="21"/>
                <w:highlight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540" w:type="dxa"/>
            <w:tcMar>
              <w:top w:w="15" w:type="dxa"/>
              <w:left w:w="15" w:type="dxa"/>
              <w:right w:w="15" w:type="dxa"/>
            </w:tcMar>
            <w:vAlign w:val="center"/>
          </w:tcPr>
          <w:p>
            <w:pPr>
              <w:spacing w:line="276" w:lineRule="auto"/>
              <w:jc w:val="center"/>
              <w:rPr>
                <w:rFonts w:hint="eastAsia" w:ascii="宋体" w:hAnsi="宋体" w:eastAsia="宋体" w:cs="宋体"/>
                <w:kern w:val="0"/>
                <w:sz w:val="21"/>
                <w:szCs w:val="21"/>
                <w:highlight w:val="none"/>
                <w:lang w:val="en-US" w:eastAsia="zh-CN" w:bidi="ar"/>
              </w:rPr>
            </w:pPr>
            <w:r>
              <w:rPr>
                <w:rFonts w:hint="eastAsia" w:ascii="宋体" w:hAnsi="宋体" w:cs="宋体"/>
                <w:kern w:val="0"/>
                <w:sz w:val="21"/>
                <w:szCs w:val="21"/>
                <w:highlight w:val="none"/>
                <w:lang w:val="en-US" w:eastAsia="zh-CN" w:bidi="ar"/>
              </w:rPr>
              <w:t>9</w:t>
            </w:r>
          </w:p>
        </w:tc>
        <w:tc>
          <w:tcPr>
            <w:tcW w:w="1576" w:type="dxa"/>
            <w:vMerge w:val="continue"/>
            <w:tcMar>
              <w:top w:w="15" w:type="dxa"/>
              <w:left w:w="15" w:type="dxa"/>
              <w:right w:w="15" w:type="dxa"/>
            </w:tcMar>
            <w:vAlign w:val="center"/>
          </w:tcPr>
          <w:p>
            <w:pPr>
              <w:snapToGrid w:val="0"/>
              <w:spacing w:before="60" w:after="60"/>
              <w:jc w:val="center"/>
              <w:rPr>
                <w:rFonts w:hint="eastAsia" w:ascii="宋体" w:hAnsi="宋体" w:eastAsia="宋体" w:cs="宋体"/>
                <w:sz w:val="21"/>
                <w:szCs w:val="21"/>
                <w:highlight w:val="none"/>
              </w:rPr>
            </w:pPr>
          </w:p>
        </w:tc>
        <w:tc>
          <w:tcPr>
            <w:tcW w:w="6312" w:type="dxa"/>
            <w:tcMar>
              <w:top w:w="15" w:type="dxa"/>
              <w:left w:w="15" w:type="dxa"/>
              <w:right w:w="15" w:type="dxa"/>
            </w:tcMar>
            <w:vAlign w:val="center"/>
          </w:tcPr>
          <w:p>
            <w:pPr>
              <w:snapToGrid w:val="0"/>
              <w:spacing w:before="60" w:after="60"/>
              <w:jc w:val="both"/>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服务单位的服务评价意见，提供1份得1分，最高10分</w:t>
            </w:r>
            <w:r>
              <w:rPr>
                <w:rFonts w:hint="eastAsia" w:ascii="宋体" w:hAnsi="宋体" w:cs="宋体"/>
                <w:sz w:val="21"/>
                <w:szCs w:val="21"/>
                <w:highlight w:val="none"/>
                <w:lang w:val="en-US" w:eastAsia="zh-CN"/>
              </w:rPr>
              <w:t>.</w:t>
            </w:r>
          </w:p>
        </w:tc>
        <w:tc>
          <w:tcPr>
            <w:tcW w:w="528" w:type="dxa"/>
            <w:tcMar>
              <w:top w:w="15" w:type="dxa"/>
              <w:left w:w="15" w:type="dxa"/>
              <w:right w:w="15" w:type="dxa"/>
            </w:tcMar>
            <w:vAlign w:val="center"/>
          </w:tcPr>
          <w:p>
            <w:pPr>
              <w:widowControl/>
              <w:spacing w:line="276" w:lineRule="auto"/>
              <w:jc w:val="center"/>
              <w:textAlignment w:val="center"/>
              <w:rPr>
                <w:rFonts w:hint="default" w:ascii="宋体" w:hAnsi="宋体" w:eastAsia="宋体" w:cs="宋体"/>
                <w:kern w:val="0"/>
                <w:sz w:val="21"/>
                <w:szCs w:val="21"/>
                <w:highlight w:val="none"/>
                <w:lang w:val="en-US" w:eastAsia="zh-CN" w:bidi="ar"/>
              </w:rPr>
            </w:pPr>
            <w:r>
              <w:rPr>
                <w:rFonts w:hint="eastAsia" w:ascii="宋体" w:hAnsi="宋体" w:cs="宋体"/>
                <w:kern w:val="0"/>
                <w:sz w:val="21"/>
                <w:szCs w:val="21"/>
                <w:highlight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6" w:hRule="atLeast"/>
          <w:jc w:val="center"/>
        </w:trPr>
        <w:tc>
          <w:tcPr>
            <w:tcW w:w="540" w:type="dxa"/>
            <w:tcMar>
              <w:top w:w="15" w:type="dxa"/>
              <w:left w:w="15" w:type="dxa"/>
              <w:right w:w="15" w:type="dxa"/>
            </w:tcMar>
            <w:vAlign w:val="center"/>
          </w:tcPr>
          <w:p>
            <w:pPr>
              <w:spacing w:line="276" w:lineRule="auto"/>
              <w:jc w:val="center"/>
              <w:rPr>
                <w:rFonts w:hint="default" w:ascii="宋体" w:hAnsi="宋体" w:eastAsia="宋体" w:cs="宋体"/>
                <w:kern w:val="0"/>
                <w:sz w:val="21"/>
                <w:szCs w:val="21"/>
                <w:highlight w:val="none"/>
                <w:lang w:val="en-US" w:eastAsia="zh-CN" w:bidi="ar"/>
              </w:rPr>
            </w:pPr>
            <w:r>
              <w:rPr>
                <w:rFonts w:hint="eastAsia" w:ascii="宋体" w:hAnsi="宋体" w:cs="宋体"/>
                <w:kern w:val="0"/>
                <w:sz w:val="21"/>
                <w:szCs w:val="21"/>
                <w:highlight w:val="none"/>
                <w:lang w:val="en-US" w:eastAsia="zh-CN" w:bidi="ar"/>
              </w:rPr>
              <w:t>10</w:t>
            </w:r>
          </w:p>
        </w:tc>
        <w:tc>
          <w:tcPr>
            <w:tcW w:w="1576" w:type="dxa"/>
            <w:vMerge w:val="restart"/>
            <w:tcMar>
              <w:top w:w="15" w:type="dxa"/>
              <w:left w:w="15" w:type="dxa"/>
              <w:right w:w="15" w:type="dxa"/>
            </w:tcMar>
            <w:vAlign w:val="center"/>
          </w:tcPr>
          <w:p>
            <w:pPr>
              <w:widowControl/>
              <w:spacing w:line="276" w:lineRule="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服务方案</w:t>
            </w:r>
          </w:p>
          <w:p>
            <w:pPr>
              <w:widowControl/>
              <w:spacing w:line="276" w:lineRule="auto"/>
              <w:jc w:val="center"/>
              <w:textAlignment w:val="center"/>
              <w:rPr>
                <w:rFonts w:hint="eastAsia" w:ascii="宋体" w:hAnsi="宋体" w:eastAsia="宋体" w:cs="宋体"/>
                <w:kern w:val="0"/>
                <w:sz w:val="21"/>
                <w:szCs w:val="21"/>
                <w:highlight w:val="none"/>
                <w:lang w:bidi="ar"/>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40</w:t>
            </w:r>
            <w:r>
              <w:rPr>
                <w:rFonts w:hint="eastAsia" w:ascii="宋体" w:hAnsi="宋体" w:eastAsia="宋体" w:cs="宋体"/>
                <w:bCs/>
                <w:sz w:val="21"/>
                <w:szCs w:val="21"/>
                <w:highlight w:val="none"/>
              </w:rPr>
              <w:t>分</w:t>
            </w:r>
            <w:r>
              <w:rPr>
                <w:rFonts w:hint="eastAsia" w:ascii="宋体" w:hAnsi="宋体" w:eastAsia="宋体" w:cs="宋体"/>
                <w:sz w:val="21"/>
                <w:szCs w:val="21"/>
                <w:highlight w:val="none"/>
              </w:rPr>
              <w:t>）</w:t>
            </w:r>
          </w:p>
        </w:tc>
        <w:tc>
          <w:tcPr>
            <w:tcW w:w="6312" w:type="dxa"/>
            <w:tcMar>
              <w:top w:w="15" w:type="dxa"/>
              <w:left w:w="15" w:type="dxa"/>
              <w:right w:w="15" w:type="dxa"/>
            </w:tcMar>
            <w:vAlign w:val="center"/>
          </w:tcPr>
          <w:p>
            <w:pPr>
              <w:snapToGrid w:val="0"/>
              <w:spacing w:before="60" w:after="60"/>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代理机构实施方案及工作流程。</w:t>
            </w:r>
          </w:p>
          <w:p>
            <w:pPr>
              <w:snapToGrid w:val="0"/>
              <w:spacing w:before="60" w:after="6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方案制定科学、合理、完善，得8分；</w:t>
            </w:r>
          </w:p>
          <w:p>
            <w:pPr>
              <w:snapToGrid w:val="0"/>
              <w:spacing w:before="60" w:after="6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方案制定基本合理，措施基本完善，得5分；</w:t>
            </w:r>
          </w:p>
          <w:p>
            <w:pPr>
              <w:snapToGrid w:val="0"/>
              <w:spacing w:before="60" w:after="6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方案内容简单，措施不完善，得2分；</w:t>
            </w:r>
          </w:p>
          <w:p>
            <w:pPr>
              <w:snapToGrid w:val="0"/>
              <w:spacing w:before="60" w:after="60"/>
              <w:jc w:val="both"/>
              <w:rPr>
                <w:rFonts w:hint="eastAsia"/>
              </w:rPr>
            </w:pPr>
            <w:r>
              <w:rPr>
                <w:rFonts w:hint="eastAsia" w:ascii="宋体" w:hAnsi="宋体" w:eastAsia="宋体" w:cs="宋体"/>
                <w:sz w:val="21"/>
                <w:szCs w:val="21"/>
                <w:highlight w:val="none"/>
                <w:lang w:val="en-US" w:eastAsia="zh-CN"/>
              </w:rPr>
              <w:t>不提供不得分。</w:t>
            </w:r>
          </w:p>
        </w:tc>
        <w:tc>
          <w:tcPr>
            <w:tcW w:w="528" w:type="dxa"/>
            <w:tcMar>
              <w:top w:w="15" w:type="dxa"/>
              <w:left w:w="15" w:type="dxa"/>
              <w:right w:w="15" w:type="dxa"/>
            </w:tcMar>
            <w:vAlign w:val="center"/>
          </w:tcPr>
          <w:p>
            <w:pPr>
              <w:widowControl/>
              <w:spacing w:line="276" w:lineRule="auto"/>
              <w:jc w:val="center"/>
              <w:textAlignment w:val="center"/>
              <w:rPr>
                <w:rFonts w:hint="eastAsia" w:ascii="宋体" w:hAnsi="宋体" w:eastAsia="宋体" w:cs="宋体"/>
                <w:kern w:val="0"/>
                <w:sz w:val="21"/>
                <w:szCs w:val="21"/>
                <w:highlight w:val="none"/>
                <w:lang w:eastAsia="zh-CN" w:bidi="ar"/>
              </w:rPr>
            </w:pPr>
            <w:r>
              <w:rPr>
                <w:rFonts w:hint="eastAsia" w:ascii="宋体" w:hAnsi="宋体" w:cs="宋体"/>
                <w:kern w:val="0"/>
                <w:sz w:val="21"/>
                <w:szCs w:val="21"/>
                <w:highlight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jc w:val="center"/>
        </w:trPr>
        <w:tc>
          <w:tcPr>
            <w:tcW w:w="540" w:type="dxa"/>
            <w:tcMar>
              <w:top w:w="15" w:type="dxa"/>
              <w:left w:w="15" w:type="dxa"/>
              <w:right w:w="15" w:type="dxa"/>
            </w:tcMar>
            <w:vAlign w:val="center"/>
          </w:tcPr>
          <w:p>
            <w:pPr>
              <w:spacing w:line="276" w:lineRule="auto"/>
              <w:jc w:val="center"/>
              <w:rPr>
                <w:rFonts w:hint="default" w:ascii="宋体" w:hAnsi="宋体" w:eastAsia="宋体" w:cs="宋体"/>
                <w:kern w:val="0"/>
                <w:sz w:val="21"/>
                <w:szCs w:val="21"/>
                <w:highlight w:val="none"/>
                <w:lang w:val="en-US" w:eastAsia="zh-CN" w:bidi="ar"/>
              </w:rPr>
            </w:pPr>
            <w:r>
              <w:rPr>
                <w:rFonts w:hint="eastAsia" w:ascii="宋体" w:hAnsi="宋体" w:cs="宋体"/>
                <w:kern w:val="0"/>
                <w:sz w:val="21"/>
                <w:szCs w:val="21"/>
                <w:highlight w:val="none"/>
                <w:lang w:val="en-US" w:eastAsia="zh-CN" w:bidi="ar"/>
              </w:rPr>
              <w:t>11</w:t>
            </w:r>
          </w:p>
        </w:tc>
        <w:tc>
          <w:tcPr>
            <w:tcW w:w="1576" w:type="dxa"/>
            <w:vMerge w:val="continue"/>
            <w:tcMar>
              <w:top w:w="15" w:type="dxa"/>
              <w:left w:w="15" w:type="dxa"/>
              <w:right w:w="15" w:type="dxa"/>
            </w:tcMar>
            <w:vAlign w:val="center"/>
          </w:tcPr>
          <w:p>
            <w:pPr>
              <w:widowControl/>
              <w:spacing w:line="276" w:lineRule="auto"/>
              <w:jc w:val="center"/>
              <w:textAlignment w:val="center"/>
              <w:rPr>
                <w:rFonts w:hint="eastAsia" w:ascii="宋体" w:hAnsi="宋体" w:eastAsia="宋体" w:cs="宋体"/>
                <w:sz w:val="21"/>
                <w:szCs w:val="21"/>
                <w:highlight w:val="none"/>
              </w:rPr>
            </w:pPr>
          </w:p>
        </w:tc>
        <w:tc>
          <w:tcPr>
            <w:tcW w:w="6312" w:type="dxa"/>
            <w:tcMar>
              <w:top w:w="15" w:type="dxa"/>
              <w:left w:w="15" w:type="dxa"/>
              <w:right w:w="15" w:type="dxa"/>
            </w:tcMar>
            <w:vAlign w:val="center"/>
          </w:tcPr>
          <w:p>
            <w:pPr>
              <w:snapToGrid w:val="0"/>
              <w:spacing w:before="60" w:after="6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合理化建议、服务承诺、服务优势、招投标知识咨询服务方案。</w:t>
            </w:r>
          </w:p>
          <w:p>
            <w:pPr>
              <w:snapToGrid w:val="0"/>
              <w:spacing w:before="60" w:after="6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方案制定科学、合理、完善，得8分；</w:t>
            </w:r>
          </w:p>
          <w:p>
            <w:pPr>
              <w:snapToGrid w:val="0"/>
              <w:spacing w:before="60" w:after="6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方案制定基本合理，措施基本完善，得5分；</w:t>
            </w:r>
          </w:p>
          <w:p>
            <w:pPr>
              <w:snapToGrid w:val="0"/>
              <w:spacing w:before="60" w:after="6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方案内容简单，措施不完善，得2分；</w:t>
            </w:r>
          </w:p>
          <w:p>
            <w:pPr>
              <w:snapToGrid w:val="0"/>
              <w:spacing w:before="60" w:after="6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不提供不得分。</w:t>
            </w:r>
          </w:p>
        </w:tc>
        <w:tc>
          <w:tcPr>
            <w:tcW w:w="528" w:type="dxa"/>
            <w:tcMar>
              <w:top w:w="15" w:type="dxa"/>
              <w:left w:w="15" w:type="dxa"/>
              <w:right w:w="15" w:type="dxa"/>
            </w:tcMar>
            <w:vAlign w:val="center"/>
          </w:tcPr>
          <w:p>
            <w:pPr>
              <w:widowControl/>
              <w:spacing w:line="276" w:lineRule="auto"/>
              <w:jc w:val="center"/>
              <w:textAlignment w:val="center"/>
              <w:rPr>
                <w:rFonts w:hint="default" w:ascii="宋体" w:hAnsi="宋体" w:cs="宋体"/>
                <w:kern w:val="0"/>
                <w:sz w:val="21"/>
                <w:szCs w:val="21"/>
                <w:highlight w:val="none"/>
                <w:lang w:val="en-US" w:eastAsia="zh-CN" w:bidi="ar"/>
              </w:rPr>
            </w:pPr>
            <w:r>
              <w:rPr>
                <w:rFonts w:hint="eastAsia" w:ascii="宋体" w:hAnsi="宋体" w:cs="宋体"/>
                <w:kern w:val="0"/>
                <w:sz w:val="21"/>
                <w:szCs w:val="21"/>
                <w:highlight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jc w:val="center"/>
        </w:trPr>
        <w:tc>
          <w:tcPr>
            <w:tcW w:w="540" w:type="dxa"/>
            <w:tcMar>
              <w:top w:w="15" w:type="dxa"/>
              <w:left w:w="15" w:type="dxa"/>
              <w:right w:w="15" w:type="dxa"/>
            </w:tcMar>
            <w:vAlign w:val="center"/>
          </w:tcPr>
          <w:p>
            <w:pPr>
              <w:spacing w:line="276" w:lineRule="auto"/>
              <w:jc w:val="center"/>
              <w:rPr>
                <w:rFonts w:hint="default" w:ascii="宋体" w:hAnsi="宋体" w:eastAsia="宋体" w:cs="宋体"/>
                <w:kern w:val="0"/>
                <w:sz w:val="21"/>
                <w:szCs w:val="21"/>
                <w:highlight w:val="none"/>
                <w:lang w:val="en-US" w:eastAsia="zh-CN" w:bidi="ar"/>
              </w:rPr>
            </w:pPr>
            <w:r>
              <w:rPr>
                <w:rFonts w:hint="eastAsia" w:ascii="宋体" w:hAnsi="宋体" w:cs="宋体"/>
                <w:kern w:val="0"/>
                <w:sz w:val="21"/>
                <w:szCs w:val="21"/>
                <w:highlight w:val="none"/>
                <w:lang w:val="en-US" w:eastAsia="zh-CN" w:bidi="ar"/>
              </w:rPr>
              <w:t>12</w:t>
            </w:r>
          </w:p>
        </w:tc>
        <w:tc>
          <w:tcPr>
            <w:tcW w:w="1576" w:type="dxa"/>
            <w:vMerge w:val="continue"/>
            <w:tcMar>
              <w:top w:w="15" w:type="dxa"/>
              <w:left w:w="15" w:type="dxa"/>
              <w:right w:w="15" w:type="dxa"/>
            </w:tcMar>
            <w:vAlign w:val="center"/>
          </w:tcPr>
          <w:p>
            <w:pPr>
              <w:widowControl/>
              <w:spacing w:line="276" w:lineRule="auto"/>
              <w:jc w:val="center"/>
              <w:textAlignment w:val="center"/>
              <w:rPr>
                <w:rFonts w:hint="eastAsia" w:ascii="宋体" w:hAnsi="宋体" w:eastAsia="宋体" w:cs="宋体"/>
                <w:sz w:val="21"/>
                <w:szCs w:val="21"/>
                <w:highlight w:val="none"/>
              </w:rPr>
            </w:pPr>
          </w:p>
        </w:tc>
        <w:tc>
          <w:tcPr>
            <w:tcW w:w="6312" w:type="dxa"/>
            <w:tcMar>
              <w:top w:w="15" w:type="dxa"/>
              <w:left w:w="15" w:type="dxa"/>
              <w:right w:w="15" w:type="dxa"/>
            </w:tcMar>
            <w:vAlign w:val="center"/>
          </w:tcPr>
          <w:p>
            <w:pPr>
              <w:snapToGrid w:val="0"/>
              <w:spacing w:before="60" w:after="6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质量保证措施</w:t>
            </w:r>
            <w:r>
              <w:rPr>
                <w:rFonts w:hint="eastAsia" w:ascii="宋体" w:hAnsi="宋体" w:eastAsia="宋体" w:cs="宋体"/>
                <w:sz w:val="21"/>
                <w:szCs w:val="21"/>
                <w:highlight w:val="none"/>
                <w:lang w:val="en-US" w:eastAsia="zh-CN"/>
              </w:rPr>
              <w:t>。</w:t>
            </w:r>
          </w:p>
          <w:p>
            <w:pPr>
              <w:snapToGrid w:val="0"/>
              <w:spacing w:before="60" w:after="60"/>
              <w:jc w:val="both"/>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措施</w:t>
            </w:r>
            <w:r>
              <w:rPr>
                <w:rFonts w:hint="eastAsia" w:ascii="宋体" w:hAnsi="宋体" w:eastAsia="宋体" w:cs="宋体"/>
                <w:kern w:val="0"/>
                <w:sz w:val="21"/>
                <w:szCs w:val="21"/>
                <w:highlight w:val="none"/>
              </w:rPr>
              <w:t>操作性强、各关键环节安排科学</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完善得8分；</w:t>
            </w:r>
          </w:p>
          <w:p>
            <w:pPr>
              <w:pStyle w:val="5"/>
              <w:ind w:left="0" w:leftChars="0" w:firstLine="0" w:firstLineChars="0"/>
              <w:rPr>
                <w:rFonts w:hint="eastAsia"/>
                <w:lang w:val="en-US" w:eastAsia="zh-CN"/>
              </w:rPr>
            </w:pPr>
            <w:r>
              <w:rPr>
                <w:rFonts w:hint="eastAsia" w:ascii="宋体" w:hAnsi="宋体" w:eastAsia="宋体" w:cs="宋体"/>
                <w:sz w:val="21"/>
                <w:szCs w:val="21"/>
                <w:highlight w:val="none"/>
                <w:lang w:val="en-US" w:eastAsia="zh-CN"/>
              </w:rPr>
              <w:t>措施基本完善，得5分</w:t>
            </w:r>
          </w:p>
          <w:p>
            <w:pPr>
              <w:snapToGrid w:val="0"/>
              <w:spacing w:before="60" w:after="6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方案内容简单，措施不完善，得2分；</w:t>
            </w:r>
          </w:p>
          <w:p>
            <w:pPr>
              <w:pStyle w:val="5"/>
              <w:ind w:left="0" w:leftChars="0" w:firstLine="0" w:firstLineChars="0"/>
              <w:rPr>
                <w:rFonts w:hint="default"/>
                <w:lang w:val="en-US" w:eastAsia="zh-CN"/>
              </w:rPr>
            </w:pPr>
            <w:r>
              <w:rPr>
                <w:rFonts w:hint="eastAsia" w:ascii="宋体" w:hAnsi="宋体" w:eastAsia="宋体" w:cs="宋体"/>
                <w:sz w:val="21"/>
                <w:szCs w:val="21"/>
                <w:highlight w:val="none"/>
                <w:lang w:val="en-US" w:eastAsia="zh-CN"/>
              </w:rPr>
              <w:t>不提供不得分。</w:t>
            </w:r>
          </w:p>
        </w:tc>
        <w:tc>
          <w:tcPr>
            <w:tcW w:w="528" w:type="dxa"/>
            <w:tcMar>
              <w:top w:w="15" w:type="dxa"/>
              <w:left w:w="15" w:type="dxa"/>
              <w:right w:w="15" w:type="dxa"/>
            </w:tcMar>
            <w:vAlign w:val="center"/>
          </w:tcPr>
          <w:p>
            <w:pPr>
              <w:widowControl/>
              <w:spacing w:line="276" w:lineRule="auto"/>
              <w:jc w:val="center"/>
              <w:textAlignment w:val="center"/>
              <w:rPr>
                <w:rFonts w:hint="default" w:ascii="宋体" w:hAnsi="宋体" w:cs="宋体"/>
                <w:kern w:val="0"/>
                <w:sz w:val="21"/>
                <w:szCs w:val="21"/>
                <w:highlight w:val="none"/>
                <w:lang w:val="en-US" w:eastAsia="zh-CN" w:bidi="ar"/>
              </w:rPr>
            </w:pPr>
            <w:r>
              <w:rPr>
                <w:rFonts w:hint="eastAsia" w:ascii="宋体" w:hAnsi="宋体" w:cs="宋体"/>
                <w:kern w:val="0"/>
                <w:sz w:val="21"/>
                <w:szCs w:val="21"/>
                <w:highlight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jc w:val="center"/>
        </w:trPr>
        <w:tc>
          <w:tcPr>
            <w:tcW w:w="540" w:type="dxa"/>
            <w:tcMar>
              <w:top w:w="15" w:type="dxa"/>
              <w:left w:w="15" w:type="dxa"/>
              <w:right w:w="15" w:type="dxa"/>
            </w:tcMar>
            <w:vAlign w:val="center"/>
          </w:tcPr>
          <w:p>
            <w:pPr>
              <w:spacing w:line="276" w:lineRule="auto"/>
              <w:jc w:val="center"/>
              <w:rPr>
                <w:rFonts w:hint="default" w:ascii="宋体" w:hAnsi="宋体" w:eastAsia="宋体" w:cs="宋体"/>
                <w:kern w:val="0"/>
                <w:sz w:val="21"/>
                <w:szCs w:val="21"/>
                <w:highlight w:val="none"/>
                <w:lang w:val="en-US" w:eastAsia="zh-CN" w:bidi="ar"/>
              </w:rPr>
            </w:pPr>
            <w:r>
              <w:rPr>
                <w:rFonts w:hint="eastAsia" w:ascii="宋体" w:hAnsi="宋体" w:cs="宋体"/>
                <w:kern w:val="0"/>
                <w:sz w:val="21"/>
                <w:szCs w:val="21"/>
                <w:highlight w:val="none"/>
                <w:lang w:val="en-US" w:eastAsia="zh-CN" w:bidi="ar"/>
              </w:rPr>
              <w:t>13</w:t>
            </w:r>
          </w:p>
        </w:tc>
        <w:tc>
          <w:tcPr>
            <w:tcW w:w="1576" w:type="dxa"/>
            <w:vMerge w:val="continue"/>
            <w:tcMar>
              <w:top w:w="15" w:type="dxa"/>
              <w:left w:w="15" w:type="dxa"/>
              <w:right w:w="15" w:type="dxa"/>
            </w:tcMar>
            <w:vAlign w:val="center"/>
          </w:tcPr>
          <w:p>
            <w:pPr>
              <w:widowControl/>
              <w:spacing w:line="276" w:lineRule="auto"/>
              <w:jc w:val="center"/>
              <w:textAlignment w:val="center"/>
              <w:rPr>
                <w:rFonts w:hint="eastAsia" w:ascii="宋体" w:hAnsi="宋体" w:eastAsia="宋体" w:cs="宋体"/>
                <w:sz w:val="21"/>
                <w:szCs w:val="21"/>
                <w:highlight w:val="none"/>
              </w:rPr>
            </w:pPr>
          </w:p>
        </w:tc>
        <w:tc>
          <w:tcPr>
            <w:tcW w:w="6312" w:type="dxa"/>
            <w:tcMar>
              <w:top w:w="15" w:type="dxa"/>
              <w:left w:w="15" w:type="dxa"/>
              <w:right w:w="15" w:type="dxa"/>
            </w:tcMar>
            <w:vAlign w:val="center"/>
          </w:tcPr>
          <w:p>
            <w:pPr>
              <w:snapToGrid w:val="0"/>
              <w:spacing w:before="60" w:after="60"/>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风险防控、保密措施、档案管理措施。</w:t>
            </w:r>
          </w:p>
          <w:p>
            <w:pPr>
              <w:snapToGrid w:val="0"/>
              <w:spacing w:before="60" w:after="6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措施科学、合理、完善，得8分；</w:t>
            </w:r>
          </w:p>
          <w:p>
            <w:pPr>
              <w:snapToGrid w:val="0"/>
              <w:spacing w:before="60" w:after="6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措施基本完善，得5分；</w:t>
            </w:r>
          </w:p>
          <w:p>
            <w:pPr>
              <w:snapToGrid w:val="0"/>
              <w:spacing w:before="60" w:after="6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措施内容简单，措施不完善，得2分；</w:t>
            </w:r>
          </w:p>
          <w:p>
            <w:pPr>
              <w:snapToGrid w:val="0"/>
              <w:spacing w:before="60" w:after="6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不提供不得分。</w:t>
            </w:r>
          </w:p>
        </w:tc>
        <w:tc>
          <w:tcPr>
            <w:tcW w:w="528" w:type="dxa"/>
            <w:tcMar>
              <w:top w:w="15" w:type="dxa"/>
              <w:left w:w="15" w:type="dxa"/>
              <w:right w:w="15" w:type="dxa"/>
            </w:tcMar>
            <w:vAlign w:val="center"/>
          </w:tcPr>
          <w:p>
            <w:pPr>
              <w:widowControl/>
              <w:spacing w:line="276" w:lineRule="auto"/>
              <w:jc w:val="center"/>
              <w:textAlignment w:val="center"/>
              <w:rPr>
                <w:rFonts w:hint="default" w:ascii="宋体" w:hAnsi="宋体" w:cs="宋体"/>
                <w:kern w:val="0"/>
                <w:sz w:val="21"/>
                <w:szCs w:val="21"/>
                <w:highlight w:val="none"/>
                <w:lang w:val="en-US" w:eastAsia="zh-CN" w:bidi="ar"/>
              </w:rPr>
            </w:pPr>
            <w:r>
              <w:rPr>
                <w:rFonts w:hint="eastAsia" w:ascii="宋体" w:hAnsi="宋体" w:cs="宋体"/>
                <w:kern w:val="0"/>
                <w:sz w:val="21"/>
                <w:szCs w:val="21"/>
                <w:highlight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jc w:val="center"/>
        </w:trPr>
        <w:tc>
          <w:tcPr>
            <w:tcW w:w="540" w:type="dxa"/>
            <w:tcMar>
              <w:top w:w="15" w:type="dxa"/>
              <w:left w:w="15" w:type="dxa"/>
              <w:right w:w="15" w:type="dxa"/>
            </w:tcMar>
            <w:vAlign w:val="center"/>
          </w:tcPr>
          <w:p>
            <w:pPr>
              <w:spacing w:line="276" w:lineRule="auto"/>
              <w:jc w:val="center"/>
              <w:rPr>
                <w:rFonts w:hint="default" w:ascii="宋体" w:hAnsi="宋体" w:eastAsia="宋体" w:cs="宋体"/>
                <w:kern w:val="0"/>
                <w:sz w:val="21"/>
                <w:szCs w:val="21"/>
                <w:highlight w:val="none"/>
                <w:lang w:val="en-US" w:eastAsia="zh-CN" w:bidi="ar"/>
              </w:rPr>
            </w:pPr>
            <w:r>
              <w:rPr>
                <w:rFonts w:hint="eastAsia" w:ascii="宋体" w:hAnsi="宋体" w:cs="宋体"/>
                <w:kern w:val="0"/>
                <w:sz w:val="21"/>
                <w:szCs w:val="21"/>
                <w:highlight w:val="none"/>
                <w:lang w:val="en-US" w:eastAsia="zh-CN" w:bidi="ar"/>
              </w:rPr>
              <w:t>14</w:t>
            </w:r>
          </w:p>
        </w:tc>
        <w:tc>
          <w:tcPr>
            <w:tcW w:w="1576" w:type="dxa"/>
            <w:vMerge w:val="continue"/>
            <w:tcMar>
              <w:top w:w="15" w:type="dxa"/>
              <w:left w:w="15" w:type="dxa"/>
              <w:right w:w="15" w:type="dxa"/>
            </w:tcMar>
            <w:vAlign w:val="center"/>
          </w:tcPr>
          <w:p>
            <w:pPr>
              <w:widowControl/>
              <w:spacing w:line="276" w:lineRule="auto"/>
              <w:jc w:val="center"/>
              <w:textAlignment w:val="center"/>
              <w:rPr>
                <w:rFonts w:hint="eastAsia" w:ascii="宋体" w:hAnsi="宋体" w:eastAsia="宋体" w:cs="宋体"/>
                <w:sz w:val="21"/>
                <w:szCs w:val="21"/>
                <w:highlight w:val="none"/>
              </w:rPr>
            </w:pPr>
          </w:p>
        </w:tc>
        <w:tc>
          <w:tcPr>
            <w:tcW w:w="6312" w:type="dxa"/>
            <w:tcMar>
              <w:top w:w="15" w:type="dxa"/>
              <w:left w:w="15" w:type="dxa"/>
              <w:right w:w="15" w:type="dxa"/>
            </w:tcMar>
            <w:vAlign w:val="center"/>
          </w:tcPr>
          <w:p>
            <w:pPr>
              <w:widowControl/>
              <w:spacing w:line="276" w:lineRule="auto"/>
              <w:jc w:val="both"/>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质疑处理</w:t>
            </w:r>
            <w:r>
              <w:rPr>
                <w:rFonts w:hint="eastAsia" w:ascii="宋体" w:hAnsi="宋体" w:eastAsia="宋体" w:cs="宋体"/>
                <w:kern w:val="0"/>
                <w:sz w:val="21"/>
                <w:szCs w:val="21"/>
                <w:highlight w:val="none"/>
                <w:lang w:val="en-US" w:eastAsia="zh-CN"/>
              </w:rPr>
              <w:t>办法。</w:t>
            </w:r>
          </w:p>
          <w:p>
            <w:pPr>
              <w:widowControl/>
              <w:spacing w:line="276" w:lineRule="auto"/>
              <w:jc w:val="both"/>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处理办法</w:t>
            </w:r>
            <w:r>
              <w:rPr>
                <w:rFonts w:hint="eastAsia" w:ascii="宋体" w:hAnsi="宋体" w:eastAsia="宋体" w:cs="宋体"/>
                <w:kern w:val="0"/>
                <w:sz w:val="21"/>
                <w:szCs w:val="21"/>
                <w:highlight w:val="none"/>
              </w:rPr>
              <w:t>可操作性强</w:t>
            </w:r>
            <w:r>
              <w:rPr>
                <w:rFonts w:hint="eastAsia" w:ascii="宋体" w:hAnsi="宋体" w:eastAsia="宋体" w:cs="宋体"/>
                <w:kern w:val="0"/>
                <w:sz w:val="21"/>
                <w:szCs w:val="21"/>
                <w:highlight w:val="none"/>
                <w:lang w:eastAsia="zh-CN"/>
              </w:rPr>
              <w:t>、</w:t>
            </w:r>
            <w:r>
              <w:rPr>
                <w:rFonts w:hint="eastAsia" w:ascii="宋体" w:hAnsi="宋体" w:eastAsia="宋体" w:cs="宋体"/>
                <w:sz w:val="21"/>
                <w:szCs w:val="21"/>
                <w:highlight w:val="none"/>
                <w:lang w:val="en-US" w:eastAsia="zh-CN"/>
              </w:rPr>
              <w:t>科学完善，得8分；</w:t>
            </w:r>
          </w:p>
          <w:p>
            <w:pPr>
              <w:snapToGrid w:val="0"/>
              <w:spacing w:before="60" w:after="6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处理办法基本完善，5分；</w:t>
            </w:r>
          </w:p>
          <w:p>
            <w:pPr>
              <w:snapToGrid w:val="0"/>
              <w:spacing w:before="60" w:after="6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处理办法内容简单，不完善，得2分；</w:t>
            </w:r>
          </w:p>
          <w:p>
            <w:pPr>
              <w:snapToGrid w:val="0"/>
              <w:spacing w:before="60" w:after="6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不提供不得分。</w:t>
            </w:r>
          </w:p>
        </w:tc>
        <w:tc>
          <w:tcPr>
            <w:tcW w:w="528" w:type="dxa"/>
            <w:tcMar>
              <w:top w:w="15" w:type="dxa"/>
              <w:left w:w="15" w:type="dxa"/>
              <w:right w:w="15" w:type="dxa"/>
            </w:tcMar>
            <w:vAlign w:val="center"/>
          </w:tcPr>
          <w:p>
            <w:pPr>
              <w:widowControl/>
              <w:spacing w:line="276" w:lineRule="auto"/>
              <w:jc w:val="center"/>
              <w:textAlignment w:val="center"/>
              <w:rPr>
                <w:rFonts w:hint="default" w:ascii="宋体" w:hAnsi="宋体" w:cs="宋体"/>
                <w:kern w:val="0"/>
                <w:sz w:val="21"/>
                <w:szCs w:val="21"/>
                <w:highlight w:val="none"/>
                <w:lang w:val="en-US" w:eastAsia="zh-CN" w:bidi="ar"/>
              </w:rPr>
            </w:pPr>
            <w:r>
              <w:rPr>
                <w:rFonts w:hint="eastAsia" w:ascii="宋体" w:hAnsi="宋体" w:cs="宋体"/>
                <w:kern w:val="0"/>
                <w:sz w:val="21"/>
                <w:szCs w:val="21"/>
                <w:highlight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540" w:type="dxa"/>
            <w:tcMar>
              <w:top w:w="15" w:type="dxa"/>
              <w:left w:w="15" w:type="dxa"/>
              <w:right w:w="15" w:type="dxa"/>
            </w:tcMar>
            <w:vAlign w:val="center"/>
          </w:tcPr>
          <w:p>
            <w:pPr>
              <w:spacing w:line="276"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w:t>
            </w:r>
            <w:r>
              <w:rPr>
                <w:rFonts w:hint="eastAsia" w:ascii="宋体" w:hAnsi="宋体" w:cs="宋体"/>
                <w:color w:val="auto"/>
                <w:kern w:val="0"/>
                <w:sz w:val="21"/>
                <w:szCs w:val="21"/>
                <w:highlight w:val="none"/>
                <w:lang w:val="en-US" w:eastAsia="zh-CN" w:bidi="ar"/>
              </w:rPr>
              <w:t>5</w:t>
            </w:r>
          </w:p>
        </w:tc>
        <w:tc>
          <w:tcPr>
            <w:tcW w:w="1576" w:type="dxa"/>
            <w:tcMar>
              <w:top w:w="15" w:type="dxa"/>
              <w:left w:w="15" w:type="dxa"/>
              <w:right w:w="15" w:type="dxa"/>
            </w:tcMar>
            <w:vAlign w:val="center"/>
          </w:tcPr>
          <w:p>
            <w:pPr>
              <w:spacing w:line="276"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业绩</w:t>
            </w:r>
          </w:p>
          <w:p>
            <w:pPr>
              <w:spacing w:line="276"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tc>
        <w:tc>
          <w:tcPr>
            <w:tcW w:w="6312" w:type="dxa"/>
            <w:shd w:val="clear" w:color="auto" w:fill="auto"/>
            <w:tcMar>
              <w:top w:w="15" w:type="dxa"/>
              <w:left w:w="15" w:type="dxa"/>
              <w:right w:w="15" w:type="dxa"/>
            </w:tcMar>
            <w:vAlign w:val="center"/>
          </w:tcPr>
          <w:p>
            <w:pPr>
              <w:jc w:val="both"/>
              <w:rPr>
                <w:rFonts w:hint="eastAsia" w:ascii="宋体" w:hAnsi="宋体" w:eastAsia="宋体" w:cs="宋体"/>
                <w:color w:val="auto"/>
                <w:sz w:val="21"/>
                <w:szCs w:val="21"/>
                <w:highlight w:val="none"/>
              </w:rPr>
            </w:pPr>
          </w:p>
          <w:p>
            <w:pPr>
              <w:widowControl/>
              <w:spacing w:line="276" w:lineRule="auto"/>
              <w:jc w:val="both"/>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2021年1月至今完成审计或评估类项目的业绩,每提供一个项目得2分，最高10分。</w:t>
            </w:r>
          </w:p>
          <w:p>
            <w:pPr>
              <w:widowControl/>
              <w:spacing w:line="276" w:lineRule="auto"/>
              <w:jc w:val="both"/>
              <w:textAlignment w:val="center"/>
              <w:rPr>
                <w:rFonts w:hint="eastAsia"/>
              </w:rPr>
            </w:pPr>
            <w:r>
              <w:rPr>
                <w:rFonts w:hint="eastAsia" w:ascii="宋体" w:hAnsi="宋体" w:eastAsia="宋体" w:cs="宋体"/>
                <w:sz w:val="21"/>
                <w:szCs w:val="21"/>
                <w:highlight w:val="none"/>
                <w:lang w:val="en-US" w:eastAsia="zh-CN"/>
              </w:rPr>
              <w:t>(提供项目招标及中标公告网上截图)</w:t>
            </w:r>
          </w:p>
        </w:tc>
        <w:tc>
          <w:tcPr>
            <w:tcW w:w="528" w:type="dxa"/>
            <w:tcMar>
              <w:top w:w="15" w:type="dxa"/>
              <w:left w:w="15" w:type="dxa"/>
              <w:right w:w="15" w:type="dxa"/>
            </w:tcMar>
            <w:vAlign w:val="center"/>
          </w:tcPr>
          <w:p>
            <w:pPr>
              <w:widowControl/>
              <w:spacing w:line="276" w:lineRule="auto"/>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10</w:t>
            </w:r>
          </w:p>
        </w:tc>
      </w:tr>
    </w:tbl>
    <w:p>
      <w:pPr>
        <w:bidi w:val="0"/>
        <w:ind w:firstLine="3840" w:firstLineChars="1200"/>
        <w:rPr>
          <w:rFonts w:hint="default" w:ascii="宋体" w:hAnsi="宋体" w:eastAsia="宋体" w:cs="宋体"/>
          <w:sz w:val="32"/>
          <w:szCs w:val="32"/>
          <w:highlight w:val="yellow"/>
          <w:lang w:val="en-US" w:eastAsia="zh-CN"/>
        </w:rPr>
      </w:pP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hZjRlYzQ2MGMzN2RmMTA1ZWI1OTNjZmNjMjYxMWUifQ=="/>
  </w:docVars>
  <w:rsids>
    <w:rsidRoot w:val="00000000"/>
    <w:rsid w:val="13DF2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99"/>
    <w:rPr>
      <w:rFonts w:eastAsia="黑体"/>
      <w:kern w:val="0"/>
      <w:sz w:val="36"/>
      <w:szCs w:val="36"/>
    </w:rPr>
  </w:style>
  <w:style w:type="paragraph" w:styleId="3">
    <w:name w:val="Body Text Indent"/>
    <w:basedOn w:val="1"/>
    <w:qFormat/>
    <w:uiPriority w:val="0"/>
    <w:pPr>
      <w:spacing w:line="360" w:lineRule="auto"/>
      <w:ind w:firstLine="425"/>
    </w:pPr>
    <w:rPr>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basedOn w:val="3"/>
    <w:qFormat/>
    <w:uiPriority w:val="0"/>
    <w:pPr>
      <w:spacing w:after="120" w:line="240" w:lineRule="auto"/>
      <w:ind w:left="200" w:leftChars="200" w:firstLine="200" w:firstLineChars="200"/>
    </w:pPr>
    <w:rPr>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2024-04-25T06:55:28Z</dcterms:created>
  <dc:creator>Administrator</dc:creator>
  <cp:lastModifiedBy>李厚广</cp:lastModifiedBy>
  <dcterms:modified xsi:type="dcterms:W3CDTF">2024-04-25T06:57:09Z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A7097863B6384A9387E4C4173CC75E26_12</vt:lpwstr>
  </property>
</Properties>
</file>